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89ED" w14:textId="73626FAE" w:rsidR="00411F1C" w:rsidRPr="00411F1C" w:rsidRDefault="00411F1C" w:rsidP="00411F1C">
      <w:pPr>
        <w:rPr>
          <w:rFonts w:ascii="Times New Roman" w:eastAsia="Times" w:hAnsi="Times New Roman" w:cs="Times New Roman"/>
          <w:b/>
          <w:bCs/>
          <w:color w:val="000000" w:themeColor="text1"/>
        </w:rPr>
      </w:pPr>
      <w:r w:rsidRPr="00411F1C">
        <w:rPr>
          <w:rFonts w:ascii="Times New Roman" w:eastAsia="Times" w:hAnsi="Times New Roman" w:cs="Times New Roman"/>
          <w:b/>
          <w:bCs/>
          <w:color w:val="000000" w:themeColor="text1"/>
        </w:rPr>
        <w:t xml:space="preserve">Appointment of Counsel [From </w:t>
      </w:r>
      <w:proofErr w:type="spellStart"/>
      <w:r w:rsidRPr="00411F1C">
        <w:rPr>
          <w:rFonts w:ascii="Times New Roman" w:eastAsia="Times" w:hAnsi="Times New Roman" w:cs="Times New Roman"/>
          <w:b/>
          <w:bCs/>
          <w:color w:val="000000" w:themeColor="text1"/>
        </w:rPr>
        <w:t>Benchbook</w:t>
      </w:r>
      <w:proofErr w:type="spellEnd"/>
      <w:r w:rsidRPr="00411F1C">
        <w:rPr>
          <w:rFonts w:ascii="Times New Roman" w:eastAsia="Times" w:hAnsi="Times New Roman" w:cs="Times New Roman"/>
          <w:b/>
          <w:bCs/>
          <w:color w:val="000000" w:themeColor="text1"/>
        </w:rPr>
        <w:t xml:space="preserve"> </w:t>
      </w:r>
      <w:r w:rsidRPr="00411F1C">
        <w:rPr>
          <w:rFonts w:ascii="Times New Roman" w:eastAsia="Times" w:hAnsi="Times New Roman" w:cs="Times New Roman"/>
          <w:b/>
          <w:bCs/>
          <w:color w:val="000000" w:themeColor="text1"/>
        </w:rPr>
        <w:t>1.02.C</w:t>
      </w:r>
      <w:r w:rsidRPr="00411F1C">
        <w:rPr>
          <w:rFonts w:ascii="Times New Roman" w:eastAsia="Times" w:hAnsi="Times New Roman" w:cs="Times New Roman"/>
          <w:b/>
          <w:bCs/>
          <w:color w:val="000000" w:themeColor="text1"/>
        </w:rPr>
        <w:t xml:space="preserve">] </w:t>
      </w:r>
    </w:p>
    <w:p w14:paraId="416B4451" w14:textId="26AAE226" w:rsidR="00411F1C" w:rsidRPr="00411F1C" w:rsidRDefault="00411F1C" w:rsidP="00411F1C">
      <w:pPr>
        <w:rPr>
          <w:rFonts w:ascii="Times New Roman" w:eastAsia="Times" w:hAnsi="Times New Roman" w:cs="Times New Roman"/>
          <w:color w:val="000000" w:themeColor="text1"/>
        </w:rPr>
      </w:pPr>
      <w:r w:rsidRPr="00411F1C">
        <w:rPr>
          <w:rFonts w:ascii="Times New Roman" w:eastAsia="Times" w:hAnsi="Times New Roman" w:cs="Times New Roman"/>
          <w:color w:val="000000" w:themeColor="text1"/>
        </w:rPr>
        <w:t>C.</w:t>
      </w:r>
      <w:r w:rsidRPr="00411F1C">
        <w:rPr>
          <w:rFonts w:ascii="Times New Roman" w:eastAsia="Times" w:hAnsi="Times New Roman" w:cs="Times New Roman"/>
          <w:color w:val="000000" w:themeColor="text1"/>
        </w:rPr>
        <w:tab/>
        <w:t>If the defendant does not want counsel:</w:t>
      </w:r>
    </w:p>
    <w:p w14:paraId="4B28BB3B" w14:textId="77777777" w:rsidR="00411F1C" w:rsidRPr="00411F1C" w:rsidRDefault="00411F1C" w:rsidP="00411F1C">
      <w:pPr>
        <w:pStyle w:val="ListParagraph"/>
        <w:rPr>
          <w:rFonts w:ascii="Times New Roman" w:hAnsi="Times New Roman" w:cs="Times New Roman"/>
          <w:color w:val="000000" w:themeColor="text1"/>
        </w:rPr>
      </w:pPr>
      <w:r w:rsidRPr="00411F1C">
        <w:rPr>
          <w:rFonts w:ascii="Times New Roman" w:hAnsi="Times New Roman" w:cs="Times New Roman"/>
          <w:color w:val="000000" w:themeColor="text1"/>
        </w:rPr>
        <w:t>The accused has a constitutional right to self-represen</w:t>
      </w:r>
      <w:r w:rsidRPr="00411F1C">
        <w:rPr>
          <w:rFonts w:ascii="Times New Roman" w:hAnsi="Times New Roman" w:cs="Times New Roman"/>
          <w:color w:val="000000" w:themeColor="text1"/>
        </w:rPr>
        <w:softHyphen/>
        <w:t>ta</w:t>
      </w:r>
      <w:r w:rsidRPr="00411F1C">
        <w:rPr>
          <w:rFonts w:ascii="Times New Roman" w:hAnsi="Times New Roman" w:cs="Times New Roman"/>
          <w:color w:val="000000" w:themeColor="text1"/>
        </w:rPr>
        <w:softHyphen/>
        <w:t>tion. Waiver of counsel must, however, be knowing and voluntary. This means that you must make clear on the record that the defendant is fully aware of the hazards and disadvan</w:t>
      </w:r>
      <w:r w:rsidRPr="00411F1C">
        <w:rPr>
          <w:rFonts w:ascii="Times New Roman" w:hAnsi="Times New Roman" w:cs="Times New Roman"/>
          <w:color w:val="000000" w:themeColor="text1"/>
        </w:rPr>
        <w:softHyphen/>
        <w:t>tages of self-representation.</w:t>
      </w:r>
      <w:r w:rsidRPr="00411F1C">
        <w:rPr>
          <w:rFonts w:ascii="Times New Roman" w:hAnsi="Times New Roman" w:cs="Times New Roman"/>
          <w:color w:val="000000" w:themeColor="text1"/>
          <w:vertAlign w:val="superscript"/>
        </w:rPr>
        <w:footnoteReference w:id="1"/>
      </w:r>
      <w:r w:rsidRPr="00411F1C">
        <w:rPr>
          <w:rFonts w:ascii="Times New Roman" w:hAnsi="Times New Roman" w:cs="Times New Roman"/>
          <w:color w:val="000000" w:themeColor="text1"/>
        </w:rPr>
        <w:t xml:space="preserve"> </w:t>
      </w:r>
      <w:r w:rsidRPr="00411F1C">
        <w:rPr>
          <w:rFonts w:ascii="Times New Roman" w:hAnsi="Times New Roman" w:cs="Times New Roman"/>
          <w:color w:val="000000" w:themeColor="text1"/>
          <w:spacing w:val="3"/>
        </w:rPr>
        <w:t>The waiver should also be clear and unequivocal.</w:t>
      </w:r>
      <w:r w:rsidRPr="00411F1C">
        <w:rPr>
          <w:rFonts w:ascii="Times New Roman" w:hAnsi="Times New Roman" w:cs="Times New Roman"/>
          <w:color w:val="000000" w:themeColor="text1"/>
          <w:spacing w:val="3"/>
          <w:vertAlign w:val="superscript"/>
        </w:rPr>
        <w:footnoteReference w:id="2"/>
      </w:r>
    </w:p>
    <w:p w14:paraId="74A39E2C" w14:textId="77777777" w:rsidR="00411F1C" w:rsidRPr="00411F1C" w:rsidRDefault="00411F1C" w:rsidP="00411F1C">
      <w:pPr>
        <w:pStyle w:val="ListParagraph"/>
        <w:rPr>
          <w:rFonts w:ascii="Times New Roman" w:hAnsi="Times New Roman" w:cs="Times New Roman"/>
          <w:color w:val="000000" w:themeColor="text1"/>
        </w:rPr>
      </w:pPr>
      <w:r w:rsidRPr="00411F1C">
        <w:rPr>
          <w:rFonts w:ascii="Times New Roman" w:hAnsi="Times New Roman" w:cs="Times New Roman"/>
          <w:color w:val="000000" w:themeColor="text1"/>
        </w:rPr>
        <w:tab/>
        <w:t xml:space="preserve">If the defendant states that they wish to proceed pro se, you should ask questions </w:t>
      </w:r>
      <w:proofErr w:type="gramStart"/>
      <w:r w:rsidRPr="00411F1C">
        <w:rPr>
          <w:rFonts w:ascii="Times New Roman" w:hAnsi="Times New Roman" w:cs="Times New Roman"/>
          <w:color w:val="000000" w:themeColor="text1"/>
        </w:rPr>
        <w:t>similar to</w:t>
      </w:r>
      <w:proofErr w:type="gramEnd"/>
      <w:r w:rsidRPr="00411F1C">
        <w:rPr>
          <w:rFonts w:ascii="Times New Roman" w:hAnsi="Times New Roman" w:cs="Times New Roman"/>
          <w:color w:val="000000" w:themeColor="text1"/>
        </w:rPr>
        <w:t xml:space="preserve"> the following:</w:t>
      </w:r>
    </w:p>
    <w:p w14:paraId="43F7F2B9"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Have you ever studied law?</w:t>
      </w:r>
    </w:p>
    <w:p w14:paraId="1A277D0C"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Have you ever represented yourself in a criminal action?</w:t>
      </w:r>
    </w:p>
    <w:p w14:paraId="77F50707"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Do you understand that you are charged with these crimes: [state the crimes with which the defendant is charged]?</w:t>
      </w:r>
    </w:p>
    <w:p w14:paraId="0E1B974D"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Do you understand that if you are found guilty of the crime charged in Count I, the court must impose a special assessment of $100 and could sentence you to as many as ___ years in prison, impose a term of supervised release that follows imprisonment, fine you as much as $_______, and direct you to pay restitution? [The assessment is $25 for a Class A misdemeanor, $10 for a Class B, $5 for a Class C or infraction.]</w:t>
      </w:r>
    </w:p>
    <w:p w14:paraId="53880CE9" w14:textId="77777777" w:rsidR="00411F1C" w:rsidRPr="00411F1C" w:rsidRDefault="00411F1C" w:rsidP="00411F1C">
      <w:pPr>
        <w:pStyle w:val="ListParagraph"/>
        <w:rPr>
          <w:rFonts w:ascii="Times New Roman" w:hAnsi="Times New Roman" w:cs="Times New Roman"/>
          <w:color w:val="000000" w:themeColor="text1"/>
        </w:rPr>
      </w:pPr>
      <w:r w:rsidRPr="00411F1C">
        <w:rPr>
          <w:rFonts w:ascii="Times New Roman" w:hAnsi="Times New Roman" w:cs="Times New Roman"/>
          <w:color w:val="000000" w:themeColor="text1"/>
        </w:rPr>
        <w:t>[Ask the defendant a similar question for each crime charged in the indictment or information.]</w:t>
      </w:r>
    </w:p>
    <w:p w14:paraId="2564195E"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Do you understand that if you are found guilty of more than one of these crimes, this court can order that the sentences be served consecutively, that is, one after another?</w:t>
      </w:r>
    </w:p>
    <w:p w14:paraId="0C2DF302"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 xml:space="preserve">Do you understand that there are advisory Sentencing Guidelines that may </w:t>
      </w:r>
      <w:proofErr w:type="gramStart"/>
      <w:r w:rsidRPr="00411F1C">
        <w:rPr>
          <w:rFonts w:cs="Times New Roman"/>
          <w:color w:val="000000" w:themeColor="text1"/>
          <w:sz w:val="24"/>
          <w:szCs w:val="24"/>
        </w:rPr>
        <w:t>have an effect on</w:t>
      </w:r>
      <w:proofErr w:type="gramEnd"/>
      <w:r w:rsidRPr="00411F1C">
        <w:rPr>
          <w:rFonts w:cs="Times New Roman"/>
          <w:color w:val="000000" w:themeColor="text1"/>
          <w:sz w:val="24"/>
          <w:szCs w:val="24"/>
        </w:rPr>
        <w:t xml:space="preserve"> your sentence if you are found guilty?</w:t>
      </w:r>
    </w:p>
    <w:p w14:paraId="59D04E9E"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Do you understand that if you represent yourself, you are on your own? I cannot tell you or even advise you how you should try your case.</w:t>
      </w:r>
    </w:p>
    <w:p w14:paraId="2764FAC3"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Are you familiar with the Federal Rules of Evidence?</w:t>
      </w:r>
    </w:p>
    <w:p w14:paraId="67F4CBE0"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Do you understand that the rules of evidence govern what evidence may or may not be introduced at trial, that in representing yourself, you must abide by those very technical rules, and that they will not be relaxed for your benefit?</w:t>
      </w:r>
    </w:p>
    <w:p w14:paraId="353E43B1"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Are you familiar with the Federal Rules of Criminal Procedure?</w:t>
      </w:r>
    </w:p>
    <w:p w14:paraId="30B7A5AF"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Do you understand that those rules govern the way a criminal action is tried in federal court, that you are bound by those rules, and that they will not be relaxed for your benefit?</w:t>
      </w:r>
    </w:p>
    <w:p w14:paraId="105BEFE3"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 xml:space="preserve">Do you understand that the Bail Reform Act of 1984 governs whether you will be released from custody today or will be detained until your trial—or until sentencing if </w:t>
      </w:r>
      <w:r w:rsidRPr="00411F1C">
        <w:rPr>
          <w:rFonts w:cs="Times New Roman"/>
          <w:color w:val="000000" w:themeColor="text1"/>
          <w:sz w:val="24"/>
          <w:szCs w:val="24"/>
        </w:rPr>
        <w:lastRenderedPageBreak/>
        <w:t>you plead guilty—and that in representing yourself, you must abide by the technicalities of that statute, which will not be relaxed for your benefit? And that I cannot advise you on how to proceed under that statute?</w:t>
      </w:r>
      <w:r w:rsidRPr="00411F1C">
        <w:rPr>
          <w:rFonts w:cs="Times New Roman"/>
          <w:color w:val="000000" w:themeColor="text1"/>
          <w:sz w:val="24"/>
          <w:szCs w:val="24"/>
        </w:rPr>
        <w:tab/>
      </w:r>
    </w:p>
    <w:p w14:paraId="320E8B9E" w14:textId="77777777" w:rsidR="00411F1C" w:rsidRPr="00411F1C" w:rsidRDefault="00411F1C" w:rsidP="00411F1C">
      <w:pPr>
        <w:pStyle w:val="ListParagraph"/>
        <w:rPr>
          <w:rFonts w:ascii="Times New Roman" w:hAnsi="Times New Roman" w:cs="Times New Roman"/>
          <w:color w:val="000000" w:themeColor="text1"/>
        </w:rPr>
      </w:pPr>
      <w:r w:rsidRPr="00411F1C">
        <w:rPr>
          <w:rFonts w:ascii="Times New Roman" w:hAnsi="Times New Roman" w:cs="Times New Roman"/>
          <w:color w:val="000000" w:themeColor="text1"/>
        </w:rPr>
        <w:t>[Then say to the defendant something to this effect:]</w:t>
      </w:r>
    </w:p>
    <w:p w14:paraId="730EF00E"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I must advise you that in my opinion, a trained lawyer would defend you far bet</w:t>
      </w:r>
      <w:r w:rsidRPr="00411F1C">
        <w:rPr>
          <w:rFonts w:cs="Times New Roman"/>
          <w:color w:val="000000" w:themeColor="text1"/>
          <w:sz w:val="24"/>
          <w:szCs w:val="24"/>
        </w:rPr>
        <w:softHyphen/>
        <w:t>ter than you could defend yourself. I think it is unwise of you to try to represent yourself. You are not familiar with the law. You are not familiar with court procedure. You are not familiar with the rules of evi</w:t>
      </w:r>
      <w:r w:rsidRPr="00411F1C">
        <w:rPr>
          <w:rFonts w:cs="Times New Roman"/>
          <w:color w:val="000000" w:themeColor="text1"/>
          <w:sz w:val="24"/>
          <w:szCs w:val="24"/>
        </w:rPr>
        <w:softHyphen/>
        <w:t>dence. I strongly urge you not to try to represent yourself.</w:t>
      </w:r>
    </w:p>
    <w:p w14:paraId="1F1C4A1D" w14:textId="77777777" w:rsidR="00411F1C" w:rsidRPr="00411F1C" w:rsidRDefault="00411F1C" w:rsidP="00411F1C">
      <w:pPr>
        <w:pStyle w:val="ListParagraph"/>
        <w:rPr>
          <w:rFonts w:ascii="Times New Roman" w:hAnsi="Times New Roman" w:cs="Times New Roman"/>
          <w:color w:val="000000" w:themeColor="text1"/>
        </w:rPr>
      </w:pPr>
      <w:r w:rsidRPr="00411F1C">
        <w:rPr>
          <w:rFonts w:ascii="Times New Roman" w:hAnsi="Times New Roman" w:cs="Times New Roman"/>
          <w:color w:val="000000" w:themeColor="text1"/>
        </w:rPr>
        <w:t>An attorney, on the other hand, knows the law of pretrial release and detention, how to prepare a case for trial, the rules of evidence and procedure, how to select a jury, how to present the case to a judge and jury, how to examine witnesses and object to testimony or evidence, and how to protect your rights.</w:t>
      </w:r>
    </w:p>
    <w:p w14:paraId="1B540C49" w14:textId="77777777" w:rsidR="00411F1C" w:rsidRPr="00411F1C" w:rsidRDefault="00411F1C" w:rsidP="00411F1C">
      <w:pPr>
        <w:pStyle w:val="ListParagraph"/>
        <w:rPr>
          <w:rFonts w:ascii="Times New Roman" w:hAnsi="Times New Roman" w:cs="Times New Roman"/>
          <w:color w:val="000000" w:themeColor="text1"/>
        </w:rPr>
      </w:pPr>
      <w:r w:rsidRPr="00411F1C">
        <w:rPr>
          <w:rFonts w:ascii="Times New Roman" w:hAnsi="Times New Roman" w:cs="Times New Roman"/>
          <w:color w:val="000000" w:themeColor="text1"/>
        </w:rPr>
        <w:t>Therefore, I strongly urge you to accept appointed counsel and not to try to represent yourself.</w:t>
      </w:r>
    </w:p>
    <w:p w14:paraId="02680685"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 xml:space="preserve">Now, </w:t>
      </w:r>
      <w:proofErr w:type="gramStart"/>
      <w:r w:rsidRPr="00411F1C">
        <w:rPr>
          <w:rFonts w:cs="Times New Roman"/>
          <w:color w:val="000000" w:themeColor="text1"/>
          <w:sz w:val="24"/>
          <w:szCs w:val="24"/>
        </w:rPr>
        <w:t>in light of</w:t>
      </w:r>
      <w:proofErr w:type="gramEnd"/>
      <w:r w:rsidRPr="00411F1C">
        <w:rPr>
          <w:rFonts w:cs="Times New Roman"/>
          <w:color w:val="000000" w:themeColor="text1"/>
          <w:sz w:val="24"/>
          <w:szCs w:val="24"/>
        </w:rPr>
        <w:t xml:space="preserve"> the penalty that you might suffer if you are found guilty, and in light of all of the difficulties of represent</w:t>
      </w:r>
      <w:r w:rsidRPr="00411F1C">
        <w:rPr>
          <w:rFonts w:cs="Times New Roman"/>
          <w:color w:val="000000" w:themeColor="text1"/>
          <w:sz w:val="24"/>
          <w:szCs w:val="24"/>
        </w:rPr>
        <w:softHyphen/>
        <w:t>ing yourself, do you still desire to represent yourself and to give up your right to be represented by a lawyer?</w:t>
      </w:r>
    </w:p>
    <w:p w14:paraId="6BCEC00E"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Is your decision entirely voluntary?</w:t>
      </w:r>
    </w:p>
    <w:p w14:paraId="75AACB93" w14:textId="77777777" w:rsidR="00411F1C" w:rsidRPr="00411F1C" w:rsidRDefault="00411F1C" w:rsidP="00411F1C">
      <w:pPr>
        <w:pStyle w:val="ListParagraph"/>
        <w:rPr>
          <w:rFonts w:ascii="Times New Roman" w:hAnsi="Times New Roman" w:cs="Times New Roman"/>
          <w:color w:val="000000" w:themeColor="text1"/>
        </w:rPr>
      </w:pPr>
      <w:r w:rsidRPr="00411F1C">
        <w:rPr>
          <w:rFonts w:ascii="Times New Roman" w:hAnsi="Times New Roman" w:cs="Times New Roman"/>
          <w:color w:val="000000" w:themeColor="text1"/>
        </w:rPr>
        <w:t>[If the answers to the two preceding questions are yes, and the defendant’s mental competency is not in question,</w:t>
      </w:r>
      <w:r w:rsidRPr="00411F1C">
        <w:rPr>
          <w:rFonts w:ascii="Times New Roman" w:hAnsi="Times New Roman" w:cs="Times New Roman"/>
          <w:color w:val="000000" w:themeColor="text1"/>
          <w:vertAlign w:val="superscript"/>
        </w:rPr>
        <w:footnoteReference w:id="3"/>
      </w:r>
      <w:r w:rsidRPr="00411F1C">
        <w:rPr>
          <w:rFonts w:ascii="Times New Roman" w:hAnsi="Times New Roman" w:cs="Times New Roman"/>
          <w:color w:val="000000" w:themeColor="text1"/>
          <w:spacing w:val="-29"/>
        </w:rPr>
        <w:t xml:space="preserve"> </w:t>
      </w:r>
      <w:r w:rsidRPr="00411F1C">
        <w:rPr>
          <w:rFonts w:ascii="Times New Roman" w:hAnsi="Times New Roman" w:cs="Times New Roman"/>
          <w:color w:val="000000" w:themeColor="text1"/>
        </w:rPr>
        <w:t>say something to the following effect:]</w:t>
      </w:r>
    </w:p>
    <w:p w14:paraId="3450CC4D" w14:textId="77777777" w:rsidR="00411F1C" w:rsidRPr="00411F1C" w:rsidRDefault="00411F1C" w:rsidP="00411F1C">
      <w:pPr>
        <w:pStyle w:val="numberedlist"/>
        <w:ind w:hanging="360"/>
        <w:rPr>
          <w:rFonts w:cs="Times New Roman"/>
          <w:color w:val="000000" w:themeColor="text1"/>
          <w:sz w:val="24"/>
          <w:szCs w:val="24"/>
        </w:rPr>
      </w:pPr>
      <w:r w:rsidRPr="00411F1C">
        <w:rPr>
          <w:rFonts w:cs="Times New Roman"/>
          <w:color w:val="000000" w:themeColor="text1"/>
          <w:sz w:val="24"/>
          <w:szCs w:val="24"/>
        </w:rPr>
        <w:t>I find that the defendant has knowingly and voluntarily waived the right to counsel. I will therefore permit the defendant to [represent themselves] [proceed pro se].</w:t>
      </w:r>
    </w:p>
    <w:p w14:paraId="1ABA703B" w14:textId="77777777" w:rsidR="00411F1C" w:rsidRPr="00411F1C" w:rsidRDefault="00411F1C" w:rsidP="00411F1C">
      <w:pPr>
        <w:pStyle w:val="ListParagraph"/>
        <w:rPr>
          <w:rFonts w:ascii="Times New Roman" w:hAnsi="Times New Roman" w:cs="Times New Roman"/>
          <w:color w:val="000000" w:themeColor="text1"/>
        </w:rPr>
      </w:pPr>
      <w:r w:rsidRPr="00411F1C">
        <w:rPr>
          <w:rFonts w:ascii="Times New Roman" w:hAnsi="Times New Roman" w:cs="Times New Roman"/>
          <w:color w:val="000000" w:themeColor="text1"/>
        </w:rPr>
        <w:tab/>
        <w:t xml:space="preserve">The </w:t>
      </w:r>
      <w:r w:rsidRPr="00411F1C">
        <w:rPr>
          <w:rFonts w:ascii="Times New Roman" w:hAnsi="Times New Roman" w:cs="Times New Roman"/>
          <w:i/>
          <w:iCs/>
          <w:color w:val="000000" w:themeColor="text1"/>
        </w:rPr>
        <w:t>Guide to Judiciary Policy</w:t>
      </w:r>
      <w:r w:rsidRPr="00411F1C">
        <w:rPr>
          <w:rFonts w:ascii="Times New Roman" w:hAnsi="Times New Roman" w:cs="Times New Roman"/>
          <w:color w:val="000000" w:themeColor="text1"/>
        </w:rPr>
        <w:t xml:space="preserve"> states that: “A waiver of assigned counsel by a defendant should be in writing. If the defendant refuses to sign the waiver, the court or U.S. magistrate judge should certify thereto. No standard form has been prescribed for this purpose.”</w:t>
      </w:r>
      <w:r w:rsidRPr="00411F1C">
        <w:rPr>
          <w:rFonts w:ascii="Times New Roman" w:hAnsi="Times New Roman" w:cs="Times New Roman"/>
          <w:color w:val="000000" w:themeColor="text1"/>
          <w:vertAlign w:val="superscript"/>
        </w:rPr>
        <w:footnoteReference w:id="4"/>
      </w:r>
    </w:p>
    <w:p w14:paraId="23636A48" w14:textId="7127EA5C" w:rsidR="00F43867" w:rsidRPr="00411F1C" w:rsidRDefault="00411F1C" w:rsidP="00411F1C">
      <w:pPr>
        <w:pStyle w:val="ListParagraph"/>
        <w:rPr>
          <w:rFonts w:ascii="Times New Roman" w:hAnsi="Times New Roman" w:cs="Times New Roman"/>
          <w:color w:val="000000" w:themeColor="text1"/>
        </w:rPr>
      </w:pPr>
      <w:r w:rsidRPr="00411F1C">
        <w:rPr>
          <w:rFonts w:ascii="Times New Roman" w:hAnsi="Times New Roman" w:cs="Times New Roman"/>
          <w:color w:val="000000" w:themeColor="text1"/>
        </w:rPr>
        <w:tab/>
        <w:t>It is probably advisable to appoint standby counsel, who can assist the defendant or can replace the defendant if the court determines during trial that the defendant can no longer be permitted to proceed pro se.</w:t>
      </w:r>
      <w:r w:rsidRPr="00411F1C">
        <w:rPr>
          <w:rFonts w:ascii="Times New Roman" w:hAnsi="Times New Roman" w:cs="Times New Roman"/>
          <w:color w:val="000000" w:themeColor="text1"/>
          <w:spacing w:val="4"/>
          <w:vertAlign w:val="superscript"/>
        </w:rPr>
        <w:footnoteReference w:id="5"/>
      </w:r>
    </w:p>
    <w:sectPr w:rsidR="00F43867" w:rsidRPr="00411F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6C21" w14:textId="77777777" w:rsidR="00411F1C" w:rsidRDefault="00411F1C" w:rsidP="00411F1C">
      <w:pPr>
        <w:spacing w:after="0" w:line="240" w:lineRule="auto"/>
      </w:pPr>
      <w:r>
        <w:separator/>
      </w:r>
    </w:p>
  </w:endnote>
  <w:endnote w:type="continuationSeparator" w:id="0">
    <w:p w14:paraId="1B26FAAB" w14:textId="77777777" w:rsidR="00411F1C" w:rsidRDefault="00411F1C" w:rsidP="0041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Utopia">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B649" w14:textId="77777777" w:rsidR="00411F1C" w:rsidRDefault="00411F1C" w:rsidP="00411F1C">
      <w:pPr>
        <w:spacing w:after="0" w:line="240" w:lineRule="auto"/>
      </w:pPr>
      <w:r>
        <w:separator/>
      </w:r>
    </w:p>
  </w:footnote>
  <w:footnote w:type="continuationSeparator" w:id="0">
    <w:p w14:paraId="1D46F805" w14:textId="77777777" w:rsidR="00411F1C" w:rsidRDefault="00411F1C" w:rsidP="00411F1C">
      <w:pPr>
        <w:spacing w:after="0" w:line="240" w:lineRule="auto"/>
      </w:pPr>
      <w:r>
        <w:continuationSeparator/>
      </w:r>
    </w:p>
  </w:footnote>
  <w:footnote w:id="1">
    <w:p w14:paraId="55996DED" w14:textId="77777777" w:rsidR="00411F1C" w:rsidRPr="009D2686" w:rsidRDefault="00411F1C" w:rsidP="00411F1C">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Faretta v. California, 422 U.S. 806, 835 (1975) (defendant “should be made aware of the dangers and disadvantages of self-representation, so that the record will establish that ‘he knows what he is </w:t>
      </w:r>
      <w:proofErr w:type="gramStart"/>
      <w:r w:rsidRPr="009D2686">
        <w:rPr>
          <w:rFonts w:cs="Times New Roman"/>
          <w:color w:val="000000" w:themeColor="text1"/>
        </w:rPr>
        <w:t>doing</w:t>
      </w:r>
      <w:proofErr w:type="gramEnd"/>
      <w:r w:rsidRPr="009D2686">
        <w:rPr>
          <w:rFonts w:cs="Times New Roman"/>
          <w:color w:val="000000" w:themeColor="text1"/>
        </w:rPr>
        <w:t xml:space="preserve"> and his choice is made with eyes open.’”) (citation omitted). </w:t>
      </w:r>
      <w:r w:rsidRPr="009D2686">
        <w:rPr>
          <w:rFonts w:cs="Times New Roman"/>
          <w:i/>
          <w:iCs/>
          <w:color w:val="000000" w:themeColor="text1"/>
        </w:rPr>
        <w:t>See also</w:t>
      </w:r>
      <w:r w:rsidRPr="009D2686">
        <w:rPr>
          <w:rFonts w:cs="Times New Roman"/>
          <w:color w:val="000000" w:themeColor="text1"/>
        </w:rPr>
        <w:t xml:space="preserve"> Brady v. United States, 397 U.S. 742, 748 (1970) (“Waivers of constitutional rights not only must be voluntary but must be knowing, intelligent acts done with sufficient awareness of the relevant circumstances and likely consequences.”).</w:t>
      </w:r>
    </w:p>
  </w:footnote>
  <w:footnote w:id="2">
    <w:p w14:paraId="7A1B108F" w14:textId="77777777" w:rsidR="00411F1C" w:rsidRPr="009D2686" w:rsidRDefault="00411F1C" w:rsidP="00411F1C">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Fonts w:cs="Times New Roman"/>
          <w:i/>
          <w:iCs/>
          <w:color w:val="000000" w:themeColor="text1"/>
        </w:rPr>
        <w:t>See</w:t>
      </w:r>
      <w:r w:rsidRPr="009D2686">
        <w:rPr>
          <w:rFonts w:cs="Times New Roman"/>
          <w:color w:val="000000" w:themeColor="text1"/>
        </w:rPr>
        <w:t xml:space="preserve"> Brewer v. Williams, 430 U.S. 387, 404 (1977) (“courts indulge in every reasonable presumption against waiver” of the right to counsel).</w:t>
      </w:r>
    </w:p>
  </w:footnote>
  <w:footnote w:id="3">
    <w:p w14:paraId="7B573AA0" w14:textId="77777777" w:rsidR="00411F1C" w:rsidRPr="009D2686" w:rsidRDefault="00411F1C" w:rsidP="00411F1C">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The court has the discretion, but is not required, “to insist upon representation by counsel for those competent enough to stand trial . . . but who still suffer from severe mental illness to the point where they are not competent to conduct trial proceedings by themselves.” Indiana v. Edwards, 554 U.S. 164, 177–78 (2008) (“the Constitution permits judges to take realistic account of the particular defendant’s mental capacities by asking whether a defendant who seeks to conduct his own defense at trial is mentally competent to do so”).</w:t>
      </w:r>
    </w:p>
  </w:footnote>
  <w:footnote w:id="4">
    <w:p w14:paraId="5C7115EB" w14:textId="77777777" w:rsidR="00411F1C" w:rsidRPr="009D2686" w:rsidRDefault="00411F1C" w:rsidP="00411F1C">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Fonts w:cs="Times New Roman"/>
          <w:i/>
          <w:iCs/>
          <w:color w:val="000000" w:themeColor="text1"/>
        </w:rPr>
        <w:t xml:space="preserve">See </w:t>
      </w:r>
      <w:r w:rsidRPr="009D2686">
        <w:rPr>
          <w:rFonts w:cs="Times New Roman"/>
          <w:color w:val="000000" w:themeColor="text1"/>
        </w:rPr>
        <w:t xml:space="preserve">Guide to Judiciary Policy, </w:t>
      </w:r>
      <w:r w:rsidRPr="009D2686">
        <w:rPr>
          <w:rFonts w:cs="Times New Roman"/>
          <w:i/>
          <w:iCs/>
          <w:color w:val="000000" w:themeColor="text1"/>
        </w:rPr>
        <w:t>supra</w:t>
      </w:r>
      <w:r w:rsidRPr="009D2686">
        <w:rPr>
          <w:rFonts w:cs="Times New Roman"/>
          <w:color w:val="000000" w:themeColor="text1"/>
        </w:rPr>
        <w:t xml:space="preserve"> note 2, at § 220.50.</w:t>
      </w:r>
    </w:p>
  </w:footnote>
  <w:footnote w:id="5">
    <w:p w14:paraId="7962B3B5" w14:textId="77777777" w:rsidR="00411F1C" w:rsidRPr="009D2686" w:rsidRDefault="00411F1C" w:rsidP="00411F1C">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Fonts w:cs="Times New Roman"/>
          <w:i/>
          <w:iCs/>
          <w:color w:val="000000" w:themeColor="text1"/>
        </w:rPr>
        <w:t xml:space="preserve">See </w:t>
      </w:r>
      <w:r w:rsidRPr="009D2686">
        <w:rPr>
          <w:rFonts w:cs="Times New Roman"/>
          <w:color w:val="000000" w:themeColor="text1"/>
        </w:rPr>
        <w:t>McKaskle v. Wiggins, 465 U.S. 168, 184 (1984):</w:t>
      </w:r>
    </w:p>
    <w:p w14:paraId="5A9510B4" w14:textId="77777777" w:rsidR="00411F1C" w:rsidRPr="009D2686" w:rsidRDefault="00411F1C" w:rsidP="00411F1C">
      <w:pPr>
        <w:pStyle w:val="footnotesindented"/>
        <w:rPr>
          <w:rFonts w:cs="Times New Roman"/>
          <w:color w:val="000000" w:themeColor="text1"/>
        </w:rPr>
      </w:pPr>
      <w:r w:rsidRPr="009D2686">
        <w:rPr>
          <w:rFonts w:cs="Times New Roman"/>
          <w:color w:val="000000" w:themeColor="text1"/>
        </w:rPr>
        <w:t>A defendant’s Sixth Amendment rights are not violated when a trial judge appoints standby counsel—even over the defendant’s objection—to relieve the judge of the need to explain and enforce basic rules of courtroom protocol or to assist the defendant in overcoming routine obstacles that stand in the way of the defendant’s achievement of his own clearly indicated goals.</w:t>
      </w:r>
    </w:p>
    <w:p w14:paraId="23AE9D3D" w14:textId="77777777" w:rsidR="00411F1C" w:rsidRPr="009D2686" w:rsidRDefault="00411F1C" w:rsidP="00411F1C">
      <w:pPr>
        <w:pStyle w:val="footnotesnew"/>
        <w:ind w:firstLine="0"/>
        <w:rPr>
          <w:rFonts w:cs="Times New Roman"/>
          <w:color w:val="000000" w:themeColor="text1"/>
        </w:rPr>
      </w:pPr>
      <w:r w:rsidRPr="009D2686">
        <w:rPr>
          <w:rFonts w:cs="Times New Roman"/>
          <w:i/>
          <w:iCs/>
          <w:color w:val="000000" w:themeColor="text1"/>
        </w:rPr>
        <w:t xml:space="preserve">See also </w:t>
      </w:r>
      <w:r w:rsidRPr="009D2686">
        <w:rPr>
          <w:rFonts w:cs="Times New Roman"/>
          <w:color w:val="000000" w:themeColor="text1"/>
        </w:rPr>
        <w:t xml:space="preserve">Manual on Recurring Problems in Criminal Trials 5–6 (Tucker Carrington &amp; Kris Markarian eds., 6th ed. 2010) (discussion of appointment of standby counsel).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7A28DFC"/>
    <w:lvl w:ilvl="0">
      <w:start w:val="1"/>
      <w:numFmt w:val="decimal"/>
      <w:pStyle w:val="ListNumber"/>
      <w:lvlText w:val="%1."/>
      <w:lvlJc w:val="left"/>
      <w:pPr>
        <w:tabs>
          <w:tab w:val="num" w:pos="360"/>
        </w:tabs>
        <w:ind w:left="360" w:hanging="360"/>
      </w:pPr>
    </w:lvl>
  </w:abstractNum>
  <w:num w:numId="1" w16cid:durableId="101538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1C"/>
    <w:rsid w:val="000D6417"/>
    <w:rsid w:val="00401996"/>
    <w:rsid w:val="00411F1C"/>
    <w:rsid w:val="00500E09"/>
    <w:rsid w:val="00524EFF"/>
    <w:rsid w:val="007360D6"/>
    <w:rsid w:val="00794757"/>
    <w:rsid w:val="00845A11"/>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1E33"/>
  <w15:chartTrackingRefBased/>
  <w15:docId w15:val="{EAB8F09D-91D2-411A-8B68-673C0D58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11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11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F1C"/>
    <w:rPr>
      <w:rFonts w:eastAsiaTheme="majorEastAsia" w:cstheme="majorBidi"/>
      <w:color w:val="272727" w:themeColor="text1" w:themeTint="D8"/>
    </w:rPr>
  </w:style>
  <w:style w:type="paragraph" w:styleId="Title">
    <w:name w:val="Title"/>
    <w:basedOn w:val="Normal"/>
    <w:next w:val="Normal"/>
    <w:link w:val="TitleChar"/>
    <w:uiPriority w:val="10"/>
    <w:qFormat/>
    <w:rsid w:val="00411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F1C"/>
    <w:pPr>
      <w:spacing w:before="160"/>
      <w:jc w:val="center"/>
    </w:pPr>
    <w:rPr>
      <w:i/>
      <w:iCs/>
      <w:color w:val="404040" w:themeColor="text1" w:themeTint="BF"/>
    </w:rPr>
  </w:style>
  <w:style w:type="character" w:customStyle="1" w:styleId="QuoteChar">
    <w:name w:val="Quote Char"/>
    <w:basedOn w:val="DefaultParagraphFont"/>
    <w:link w:val="Quote"/>
    <w:uiPriority w:val="29"/>
    <w:rsid w:val="00411F1C"/>
    <w:rPr>
      <w:i/>
      <w:iCs/>
      <w:color w:val="404040" w:themeColor="text1" w:themeTint="BF"/>
    </w:rPr>
  </w:style>
  <w:style w:type="paragraph" w:styleId="ListParagraph">
    <w:name w:val="List Paragraph"/>
    <w:basedOn w:val="Normal"/>
    <w:uiPriority w:val="1"/>
    <w:qFormat/>
    <w:rsid w:val="00411F1C"/>
    <w:pPr>
      <w:ind w:left="720"/>
      <w:contextualSpacing/>
    </w:pPr>
  </w:style>
  <w:style w:type="character" w:styleId="IntenseEmphasis">
    <w:name w:val="Intense Emphasis"/>
    <w:basedOn w:val="DefaultParagraphFont"/>
    <w:uiPriority w:val="21"/>
    <w:qFormat/>
    <w:rsid w:val="00411F1C"/>
    <w:rPr>
      <w:i/>
      <w:iCs/>
      <w:color w:val="0F4761" w:themeColor="accent1" w:themeShade="BF"/>
    </w:rPr>
  </w:style>
  <w:style w:type="paragraph" w:styleId="IntenseQuote">
    <w:name w:val="Intense Quote"/>
    <w:basedOn w:val="Normal"/>
    <w:next w:val="Normal"/>
    <w:link w:val="IntenseQuoteChar"/>
    <w:uiPriority w:val="30"/>
    <w:qFormat/>
    <w:rsid w:val="00411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F1C"/>
    <w:rPr>
      <w:i/>
      <w:iCs/>
      <w:color w:val="0F4761" w:themeColor="accent1" w:themeShade="BF"/>
    </w:rPr>
  </w:style>
  <w:style w:type="character" w:styleId="IntenseReference">
    <w:name w:val="Intense Reference"/>
    <w:basedOn w:val="DefaultParagraphFont"/>
    <w:uiPriority w:val="32"/>
    <w:qFormat/>
    <w:rsid w:val="00411F1C"/>
    <w:rPr>
      <w:b/>
      <w:bCs/>
      <w:smallCaps/>
      <w:color w:val="0F4761" w:themeColor="accent1" w:themeShade="BF"/>
      <w:spacing w:val="5"/>
    </w:rPr>
  </w:style>
  <w:style w:type="character" w:styleId="FootnoteReference">
    <w:name w:val="footnote reference"/>
    <w:uiPriority w:val="99"/>
    <w:unhideWhenUsed/>
    <w:rsid w:val="00411F1C"/>
    <w:rPr>
      <w:rFonts w:ascii="Times New Roman" w:hAnsi="Times New Roman"/>
      <w:vertAlign w:val="superscript"/>
    </w:rPr>
  </w:style>
  <w:style w:type="paragraph" w:customStyle="1" w:styleId="numberedlist">
    <w:name w:val="numbered list"/>
    <w:basedOn w:val="ListNumber"/>
    <w:qFormat/>
    <w:rsid w:val="00411F1C"/>
    <w:pPr>
      <w:tabs>
        <w:tab w:val="left" w:pos="-2520"/>
        <w:tab w:val="left" w:pos="360"/>
      </w:tabs>
      <w:autoSpaceDE w:val="0"/>
      <w:autoSpaceDN w:val="0"/>
      <w:spacing w:before="60" w:after="0" w:line="260" w:lineRule="atLeast"/>
      <w:ind w:left="720"/>
      <w:jc w:val="both"/>
    </w:pPr>
    <w:rPr>
      <w:rFonts w:ascii="Times New Roman" w:eastAsia="Times" w:hAnsi="Times New Roman" w:cs="Utopia"/>
      <w:kern w:val="0"/>
    </w:rPr>
  </w:style>
  <w:style w:type="paragraph" w:styleId="ListNumber">
    <w:name w:val="List Number"/>
    <w:basedOn w:val="Normal"/>
    <w:unhideWhenUsed/>
    <w:rsid w:val="00411F1C"/>
    <w:pPr>
      <w:numPr>
        <w:numId w:val="1"/>
      </w:numPr>
      <w:spacing w:line="259" w:lineRule="auto"/>
      <w:ind w:left="0" w:firstLine="0"/>
      <w:contextualSpacing/>
    </w:pPr>
    <w:rPr>
      <w:rFonts w:ascii="Calibri" w:eastAsia="Calibri" w:hAnsi="Calibri" w:cs="Times New Roman"/>
      <w:sz w:val="22"/>
      <w:szCs w:val="22"/>
    </w:rPr>
  </w:style>
  <w:style w:type="paragraph" w:customStyle="1" w:styleId="footnotesnew">
    <w:name w:val="footnotesnew"/>
    <w:basedOn w:val="FootnoteText"/>
    <w:qFormat/>
    <w:rsid w:val="00411F1C"/>
    <w:pPr>
      <w:keepLines/>
      <w:spacing w:afterLines="20" w:after="48"/>
      <w:ind w:firstLine="360"/>
      <w:jc w:val="both"/>
    </w:pPr>
    <w:rPr>
      <w:rFonts w:ascii="Times New Roman" w:eastAsia="Calibri" w:hAnsi="Times New Roman" w:cs="Calibri"/>
    </w:rPr>
  </w:style>
  <w:style w:type="paragraph" w:customStyle="1" w:styleId="footnotesindented">
    <w:name w:val="footnotesindented"/>
    <w:basedOn w:val="footnotesnew"/>
    <w:qFormat/>
    <w:rsid w:val="00411F1C"/>
    <w:pPr>
      <w:ind w:left="720" w:right="720" w:firstLine="0"/>
    </w:pPr>
    <w:rPr>
      <w:sz w:val="19"/>
      <w:szCs w:val="19"/>
    </w:rPr>
  </w:style>
  <w:style w:type="paragraph" w:styleId="FootnoteText">
    <w:name w:val="footnote text"/>
    <w:basedOn w:val="Normal"/>
    <w:link w:val="FootnoteTextChar"/>
    <w:uiPriority w:val="99"/>
    <w:semiHidden/>
    <w:unhideWhenUsed/>
    <w:rsid w:val="00411F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1F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671</Words>
  <Characters>3826</Characters>
  <Application>Microsoft Office Word</Application>
  <DocSecurity>0</DocSecurity>
  <Lines>31</Lines>
  <Paragraphs>8</Paragraphs>
  <ScaleCrop>false</ScaleCrop>
  <Company>Federal Judicial Center</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2025-12-11T22:39:00Z</dcterms:created>
  <dcterms:modified xsi:type="dcterms:W3CDTF">2025-12-11T22:48:00Z</dcterms:modified>
</cp:coreProperties>
</file>